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004" w:type="dxa"/>
        <w:jc w:val="center"/>
        <w:tblLook w:val="04A0" w:firstRow="1" w:lastRow="0" w:firstColumn="1" w:lastColumn="0" w:noHBand="0" w:noVBand="1"/>
      </w:tblPr>
      <w:tblGrid>
        <w:gridCol w:w="10004"/>
      </w:tblGrid>
      <w:tr w:rsidR="00D2517F" w:rsidTr="00E12DDD">
        <w:trPr>
          <w:trHeight w:val="1085"/>
          <w:jc w:val="center"/>
        </w:trPr>
        <w:tc>
          <w:tcPr>
            <w:tcW w:w="10004" w:type="dxa"/>
          </w:tcPr>
          <w:p w:rsidR="00D2517F" w:rsidRPr="00B44AB5" w:rsidRDefault="00D2517F" w:rsidP="00E12DDD">
            <w:pPr>
              <w:spacing w:before="240" w:after="240"/>
              <w:jc w:val="center"/>
              <w:rPr>
                <w:b/>
                <w:sz w:val="44"/>
                <w:szCs w:val="44"/>
              </w:rPr>
            </w:pPr>
            <w:r w:rsidRPr="00B545E0">
              <w:rPr>
                <w:b/>
                <w:sz w:val="44"/>
                <w:szCs w:val="44"/>
              </w:rPr>
              <w:t>BREST sites extérieurs</w:t>
            </w:r>
          </w:p>
        </w:tc>
      </w:tr>
      <w:tr w:rsidR="00D2517F" w:rsidTr="00E12DDD">
        <w:trPr>
          <w:trHeight w:val="2474"/>
          <w:jc w:val="center"/>
        </w:trPr>
        <w:tc>
          <w:tcPr>
            <w:tcW w:w="10004" w:type="dxa"/>
          </w:tcPr>
          <w:p w:rsidR="00D2517F" w:rsidRPr="00B44AB5" w:rsidRDefault="00D2517F" w:rsidP="00E12DDD">
            <w:pPr>
              <w:spacing w:before="240" w:after="240"/>
              <w:jc w:val="center"/>
              <w:rPr>
                <w:b/>
                <w:sz w:val="44"/>
                <w:szCs w:val="44"/>
                <w:u w:val="single"/>
              </w:rPr>
            </w:pPr>
            <w:r w:rsidRPr="00B44AB5">
              <w:rPr>
                <w:b/>
                <w:sz w:val="44"/>
                <w:szCs w:val="44"/>
                <w:u w:val="single"/>
              </w:rPr>
              <w:t>Objet du marché :</w:t>
            </w:r>
          </w:p>
          <w:p w:rsidR="00D2517F" w:rsidRPr="00B44AB5" w:rsidRDefault="00D2517F" w:rsidP="00E12DDD">
            <w:pPr>
              <w:spacing w:before="240" w:after="240"/>
              <w:jc w:val="center"/>
              <w:rPr>
                <w:b/>
                <w:sz w:val="44"/>
                <w:szCs w:val="44"/>
              </w:rPr>
            </w:pPr>
            <w:r w:rsidRPr="00B44AB5">
              <w:rPr>
                <w:b/>
                <w:sz w:val="44"/>
                <w:szCs w:val="44"/>
              </w:rPr>
              <w:t>Marché d’exploitation et de maintenance multi techniques</w:t>
            </w:r>
          </w:p>
        </w:tc>
      </w:tr>
      <w:tr w:rsidR="00D2517F" w:rsidRPr="00285769" w:rsidTr="00E12DDD">
        <w:trPr>
          <w:trHeight w:val="1032"/>
          <w:jc w:val="center"/>
        </w:trPr>
        <w:tc>
          <w:tcPr>
            <w:tcW w:w="10004" w:type="dxa"/>
          </w:tcPr>
          <w:p w:rsidR="00D2517F" w:rsidRPr="00B44AB5" w:rsidRDefault="00D2517F" w:rsidP="00E12DDD">
            <w:pPr>
              <w:spacing w:before="240" w:after="240"/>
              <w:jc w:val="center"/>
              <w:rPr>
                <w:b/>
                <w:sz w:val="40"/>
                <w:szCs w:val="40"/>
              </w:rPr>
            </w:pPr>
            <w:r w:rsidRPr="00B44AB5">
              <w:rPr>
                <w:b/>
                <w:sz w:val="40"/>
                <w:szCs w:val="40"/>
              </w:rPr>
              <w:t>Cahier des Clauses Techniques Particulières</w:t>
            </w:r>
          </w:p>
        </w:tc>
      </w:tr>
      <w:tr w:rsidR="00D2517F" w:rsidRPr="00285769" w:rsidTr="00E12DDD">
        <w:trPr>
          <w:trHeight w:val="1349"/>
          <w:jc w:val="center"/>
        </w:trPr>
        <w:tc>
          <w:tcPr>
            <w:tcW w:w="10004" w:type="dxa"/>
          </w:tcPr>
          <w:p w:rsidR="00D2517F" w:rsidRPr="004426A9" w:rsidRDefault="00D2517F" w:rsidP="00E12DDD">
            <w:pPr>
              <w:pStyle w:val="Titre1"/>
              <w:numPr>
                <w:ilvl w:val="0"/>
                <w:numId w:val="0"/>
              </w:numPr>
              <w:ind w:left="789"/>
              <w:jc w:val="left"/>
              <w:outlineLvl w:val="0"/>
              <w:rPr>
                <w:color w:val="000000" w:themeColor="text1"/>
                <w:sz w:val="44"/>
                <w:szCs w:val="44"/>
              </w:rPr>
            </w:pPr>
            <w:bookmarkStart w:id="0" w:name="_Toc161318613"/>
            <w:bookmarkStart w:id="1" w:name="_Toc161318760"/>
            <w:bookmarkStart w:id="2" w:name="_Toc161320685"/>
            <w:bookmarkStart w:id="3" w:name="_Toc191052276"/>
            <w:r>
              <w:rPr>
                <w:color w:val="31849B"/>
                <w:sz w:val="44"/>
                <w:szCs w:val="44"/>
              </w:rPr>
              <w:t>Section technique 02.6</w:t>
            </w:r>
            <w:r w:rsidRPr="004426A9">
              <w:rPr>
                <w:color w:val="31849B"/>
                <w:sz w:val="44"/>
                <w:szCs w:val="44"/>
              </w:rPr>
              <w:t xml:space="preserve"> – </w:t>
            </w:r>
            <w:bookmarkEnd w:id="0"/>
            <w:bookmarkEnd w:id="1"/>
            <w:bookmarkEnd w:id="2"/>
            <w:bookmarkEnd w:id="3"/>
            <w:r>
              <w:rPr>
                <w:color w:val="31849B"/>
                <w:sz w:val="44"/>
                <w:szCs w:val="44"/>
              </w:rPr>
              <w:t>Froid alimentaire</w:t>
            </w:r>
          </w:p>
        </w:tc>
      </w:tr>
    </w:tbl>
    <w:p w:rsidR="00D2517F" w:rsidRDefault="00D2517F"/>
    <w:p w:rsidR="00D2517F" w:rsidRDefault="00D2517F">
      <w:bookmarkStart w:id="4" w:name="_GoBack"/>
      <w:bookmarkEnd w:id="4"/>
      <w:r>
        <w:br w:type="page"/>
      </w:r>
    </w:p>
    <w:p w:rsidR="00D2517F" w:rsidRPr="00F03271" w:rsidRDefault="00D2517F" w:rsidP="00D2517F">
      <w:pPr>
        <w:shd w:val="clear" w:color="auto" w:fill="EEECE1"/>
        <w:rPr>
          <w:rFonts w:ascii="Calibri" w:hAnsi="Calibri"/>
          <w:b/>
        </w:rPr>
      </w:pPr>
      <w:r w:rsidRPr="0072056D">
        <w:rPr>
          <w:rFonts w:ascii="Calibri" w:hAnsi="Calibri"/>
          <w:b/>
        </w:rPr>
        <w:lastRenderedPageBreak/>
        <w:t xml:space="preserve">1. </w:t>
      </w:r>
      <w:r w:rsidRPr="0072056D">
        <w:rPr>
          <w:rFonts w:ascii="Calibri" w:hAnsi="Calibri"/>
          <w:b/>
        </w:rPr>
        <w:tab/>
      </w:r>
      <w:r w:rsidRPr="00CB0B1E">
        <w:rPr>
          <w:rFonts w:ascii="Calibri" w:hAnsi="Calibri"/>
          <w:b/>
        </w:rPr>
        <w:t>TEXTES ET DOCUMENTS DE REFERENCE</w:t>
      </w:r>
    </w:p>
    <w:p w:rsidR="00D2517F" w:rsidRDefault="00D2517F" w:rsidP="00D2517F">
      <w:pPr>
        <w:pStyle w:val="Corpsdetexte"/>
        <w:rPr>
          <w:rFonts w:ascii="Calibri" w:hAnsi="Calibri"/>
          <w:sz w:val="22"/>
          <w:szCs w:val="22"/>
        </w:rPr>
      </w:pPr>
    </w:p>
    <w:p w:rsidR="00D2517F" w:rsidRPr="001C181D" w:rsidRDefault="00D2517F" w:rsidP="00D2517F">
      <w:pPr>
        <w:pStyle w:val="Corpsdetexte"/>
        <w:rPr>
          <w:rFonts w:ascii="Calibri" w:hAnsi="Calibri"/>
          <w:sz w:val="22"/>
          <w:szCs w:val="22"/>
        </w:rPr>
      </w:pPr>
      <w:r w:rsidRPr="001C181D">
        <w:rPr>
          <w:rFonts w:ascii="Calibri" w:hAnsi="Calibri"/>
          <w:sz w:val="22"/>
          <w:szCs w:val="22"/>
        </w:rPr>
        <w:t xml:space="preserve">Le titulaire réalise les prestations selon les </w:t>
      </w:r>
      <w:r w:rsidRPr="001C181D">
        <w:rPr>
          <w:rFonts w:ascii="Calibri" w:hAnsi="Calibri" w:cs="Calibri"/>
          <w:sz w:val="22"/>
          <w:szCs w:val="22"/>
        </w:rPr>
        <w:t xml:space="preserve">normes, lois, décrets, arrêtés, circulaires et instructions ministériels, préfectoraux, communaux en vigueur et non cités. </w:t>
      </w:r>
    </w:p>
    <w:p w:rsidR="00D2517F" w:rsidRDefault="00D2517F" w:rsidP="00D2517F">
      <w:pPr>
        <w:pStyle w:val="Corpsdetexte"/>
        <w:rPr>
          <w:rFonts w:ascii="Calibri" w:hAnsi="Calibri"/>
          <w:bCs/>
          <w:sz w:val="22"/>
          <w:szCs w:val="22"/>
        </w:rPr>
      </w:pPr>
      <w:r w:rsidRPr="001C181D">
        <w:rPr>
          <w:rFonts w:ascii="Calibri" w:hAnsi="Calibri"/>
          <w:bCs/>
          <w:sz w:val="22"/>
          <w:szCs w:val="22"/>
        </w:rPr>
        <w:t>La présente spécification constitue la partie technique de la prestation, pour les autres aspects il convient de se reporter au CCTP, auquel elle est rattachée et indissociable.</w:t>
      </w:r>
    </w:p>
    <w:p w:rsidR="00D2517F" w:rsidRDefault="00D2517F"/>
    <w:p w:rsidR="00BA67A2" w:rsidRDefault="00BA67A2"/>
    <w:p w:rsidR="00D2517F" w:rsidRDefault="00D2517F" w:rsidP="00D2517F">
      <w:pPr>
        <w:pStyle w:val="Style1"/>
        <w:numPr>
          <w:ilvl w:val="0"/>
          <w:numId w:val="3"/>
        </w:numPr>
      </w:pPr>
      <w:r>
        <w:t>Arrêté du 25/06/1980, règlement de sécurité contre les risques incendie et de panique dans les ERP.</w:t>
      </w:r>
    </w:p>
    <w:p w:rsidR="00D2517F" w:rsidRDefault="00D2517F" w:rsidP="00D2517F">
      <w:pPr>
        <w:pStyle w:val="Style1"/>
        <w:numPr>
          <w:ilvl w:val="0"/>
          <w:numId w:val="3"/>
        </w:numPr>
      </w:pPr>
      <w:r>
        <w:t>Arrêté du 10 mai 2019 modifiant l’arrêté du 25 juin 1980 portant approbation des dispositions générales du règlement de sécurité contre les risques d’incendie et de panique dans les établissements recevant du public (ERP)</w:t>
      </w:r>
    </w:p>
    <w:p w:rsidR="00D2517F" w:rsidRDefault="00D2517F" w:rsidP="00D2517F">
      <w:pPr>
        <w:pStyle w:val="Style1"/>
        <w:numPr>
          <w:ilvl w:val="0"/>
          <w:numId w:val="3"/>
        </w:numPr>
      </w:pPr>
      <w:r>
        <w:t>Arrêté du 29 février 2016 relatif à certains fluides frigorigènes et aux gaz à effet de serre fluorés.</w:t>
      </w:r>
    </w:p>
    <w:p w:rsidR="00D2517F" w:rsidRDefault="00D2517F" w:rsidP="00D2517F">
      <w:pPr>
        <w:pStyle w:val="Style1"/>
        <w:numPr>
          <w:ilvl w:val="0"/>
          <w:numId w:val="3"/>
        </w:numPr>
      </w:pPr>
      <w:r>
        <w:t>Décret n°2015-1790 du 28 décembre 2015 relatif à certains fluides frigorigènes et aux gaz à effet de serre fluorés.</w:t>
      </w:r>
    </w:p>
    <w:p w:rsidR="00D2517F" w:rsidRDefault="00D2517F" w:rsidP="00D2517F">
      <w:pPr>
        <w:pStyle w:val="Style1"/>
        <w:numPr>
          <w:ilvl w:val="0"/>
          <w:numId w:val="3"/>
        </w:numPr>
      </w:pPr>
      <w:r>
        <w:t>Décret 92-1271 du 07/12/1992 relatif à certains fluides frigorigènes utilisés dans les équipements frigorifiques et climatiques.</w:t>
      </w:r>
    </w:p>
    <w:p w:rsidR="00D2517F" w:rsidRDefault="00D2517F" w:rsidP="00D2517F">
      <w:pPr>
        <w:pStyle w:val="Style1"/>
        <w:numPr>
          <w:ilvl w:val="0"/>
          <w:numId w:val="3"/>
        </w:numPr>
      </w:pPr>
      <w:r>
        <w:t>Arrêté du 10/02/93 relatif à la récupération de certains fluides frigorigènes utilisés dans les équipements frigorifiques et climatiques.</w:t>
      </w:r>
    </w:p>
    <w:p w:rsidR="00D2517F" w:rsidRDefault="00D2517F" w:rsidP="00D2517F">
      <w:pPr>
        <w:pStyle w:val="Style1"/>
        <w:numPr>
          <w:ilvl w:val="0"/>
          <w:numId w:val="3"/>
        </w:numPr>
      </w:pPr>
      <w:r>
        <w:t>NF C 15-100 Installations électriques basse tension</w:t>
      </w:r>
    </w:p>
    <w:p w:rsidR="00D2517F" w:rsidRDefault="00D2517F" w:rsidP="00D2517F">
      <w:pPr>
        <w:numPr>
          <w:ilvl w:val="0"/>
          <w:numId w:val="3"/>
        </w:numPr>
        <w:spacing w:after="0" w:line="240" w:lineRule="auto"/>
        <w:jc w:val="both"/>
      </w:pPr>
      <w:r w:rsidRPr="00392BB9">
        <w:t>Normes, lois, décrets, arrêtés, circulaires et instructions ministériels, préfectoraux, communaux en</w:t>
      </w:r>
      <w:r>
        <w:t xml:space="preserve"> </w:t>
      </w:r>
      <w:r w:rsidRPr="00392BB9">
        <w:t>vigueur et non cités. Les textes auxquels les documents précédents font référence et les textes d’application qui en découlent</w:t>
      </w:r>
      <w:r>
        <w:t>.</w:t>
      </w:r>
    </w:p>
    <w:p w:rsidR="00D2517F" w:rsidRDefault="00D2517F"/>
    <w:p w:rsidR="00D2517F" w:rsidRPr="00CB0B1E" w:rsidRDefault="00D2517F" w:rsidP="00D2517F">
      <w:pPr>
        <w:shd w:val="clear" w:color="auto" w:fill="EEECE1"/>
        <w:rPr>
          <w:rFonts w:ascii="Calibri" w:hAnsi="Calibri"/>
          <w:b/>
        </w:rPr>
      </w:pPr>
      <w:r w:rsidRPr="00CB0B1E">
        <w:rPr>
          <w:rFonts w:ascii="Calibri" w:hAnsi="Calibri"/>
          <w:b/>
        </w:rPr>
        <w:t xml:space="preserve">2. </w:t>
      </w:r>
      <w:r w:rsidRPr="00CB0B1E">
        <w:rPr>
          <w:rFonts w:ascii="Calibri" w:hAnsi="Calibri"/>
          <w:b/>
        </w:rPr>
        <w:tab/>
        <w:t>MATERIELS CONCERNES</w:t>
      </w:r>
    </w:p>
    <w:p w:rsidR="00D2517F" w:rsidRDefault="00D2517F" w:rsidP="00D2517F">
      <w:pPr>
        <w:jc w:val="both"/>
        <w:rPr>
          <w:rFonts w:ascii="Calibri" w:hAnsi="Calibri"/>
        </w:rPr>
      </w:pPr>
      <w:r w:rsidRPr="00CD4B38">
        <w:rPr>
          <w:rFonts w:ascii="Calibri" w:hAnsi="Calibri"/>
        </w:rPr>
        <w:t>Pour tous</w:t>
      </w:r>
      <w:r>
        <w:rPr>
          <w:rFonts w:ascii="Calibri" w:hAnsi="Calibri"/>
        </w:rPr>
        <w:t xml:space="preserve"> les bâtiments ou locaux dans le périmètre du marché</w:t>
      </w:r>
      <w:r w:rsidRPr="00CD4B38">
        <w:rPr>
          <w:rFonts w:ascii="Calibri" w:hAnsi="Calibri"/>
        </w:rPr>
        <w:t>, les installations concernées sont composées</w:t>
      </w:r>
      <w:r>
        <w:rPr>
          <w:rFonts w:ascii="Calibri" w:hAnsi="Calibri"/>
        </w:rPr>
        <w:t xml:space="preserve"> de toutes les installations frigorifiques du plateau de </w:t>
      </w:r>
      <w:proofErr w:type="spellStart"/>
      <w:r>
        <w:rPr>
          <w:rFonts w:ascii="Calibri" w:hAnsi="Calibri"/>
        </w:rPr>
        <w:t>Keroriou</w:t>
      </w:r>
      <w:proofErr w:type="spellEnd"/>
      <w:r>
        <w:rPr>
          <w:rFonts w:ascii="Calibri" w:hAnsi="Calibri"/>
        </w:rPr>
        <w:t xml:space="preserve"> (</w:t>
      </w:r>
      <w:proofErr w:type="spellStart"/>
      <w:r>
        <w:t>Cf</w:t>
      </w:r>
      <w:proofErr w:type="spellEnd"/>
      <w:r>
        <w:t xml:space="preserve"> CAT 02.06)</w:t>
      </w:r>
      <w:r w:rsidRPr="00CD4B38">
        <w:rPr>
          <w:rFonts w:ascii="Calibri" w:hAnsi="Calibri"/>
        </w:rPr>
        <w:t> :</w:t>
      </w:r>
    </w:p>
    <w:p w:rsidR="00D2517F" w:rsidRDefault="00D2517F" w:rsidP="00D2517F">
      <w:pPr>
        <w:pStyle w:val="Paragraphedeliste"/>
        <w:numPr>
          <w:ilvl w:val="0"/>
          <w:numId w:val="4"/>
        </w:numPr>
        <w:jc w:val="both"/>
        <w:rPr>
          <w:rFonts w:ascii="Calibri" w:hAnsi="Calibri"/>
        </w:rPr>
      </w:pPr>
      <w:proofErr w:type="gramStart"/>
      <w:r>
        <w:rPr>
          <w:rFonts w:ascii="Calibri" w:hAnsi="Calibri"/>
        </w:rPr>
        <w:t>des</w:t>
      </w:r>
      <w:proofErr w:type="gramEnd"/>
      <w:r>
        <w:rPr>
          <w:rFonts w:ascii="Calibri" w:hAnsi="Calibri"/>
        </w:rPr>
        <w:t xml:space="preserve"> chambres négative n°1 et n°2</w:t>
      </w:r>
    </w:p>
    <w:p w:rsidR="00D2517F" w:rsidRPr="00D2517F" w:rsidRDefault="00D2517F" w:rsidP="00D2517F">
      <w:pPr>
        <w:pStyle w:val="Paragraphedeliste"/>
        <w:numPr>
          <w:ilvl w:val="0"/>
          <w:numId w:val="4"/>
        </w:numPr>
        <w:jc w:val="both"/>
        <w:rPr>
          <w:rFonts w:ascii="Calibri" w:hAnsi="Calibri"/>
        </w:rPr>
      </w:pPr>
      <w:proofErr w:type="gramStart"/>
      <w:r>
        <w:t>des</w:t>
      </w:r>
      <w:proofErr w:type="gramEnd"/>
      <w:r>
        <w:t xml:space="preserve"> chambre</w:t>
      </w:r>
      <w:r w:rsidRPr="003E47A0">
        <w:t xml:space="preserve"> Positive n° 3</w:t>
      </w:r>
      <w:r>
        <w:t xml:space="preserve"> et n°4</w:t>
      </w:r>
    </w:p>
    <w:p w:rsidR="00D2517F" w:rsidRPr="00D2517F" w:rsidRDefault="00D2517F" w:rsidP="00D2517F">
      <w:pPr>
        <w:pStyle w:val="Paragraphedeliste"/>
        <w:numPr>
          <w:ilvl w:val="0"/>
          <w:numId w:val="4"/>
        </w:numPr>
        <w:jc w:val="both"/>
        <w:rPr>
          <w:rFonts w:ascii="Calibri" w:hAnsi="Calibri"/>
        </w:rPr>
      </w:pPr>
      <w:proofErr w:type="gramStart"/>
      <w:r>
        <w:t>de</w:t>
      </w:r>
      <w:proofErr w:type="gramEnd"/>
      <w:r>
        <w:t xml:space="preserve"> la chambre produits finis n°5</w:t>
      </w:r>
    </w:p>
    <w:p w:rsidR="00D2517F" w:rsidRPr="00D2517F" w:rsidRDefault="00D2517F" w:rsidP="00D2517F">
      <w:pPr>
        <w:pStyle w:val="Paragraphedeliste"/>
        <w:numPr>
          <w:ilvl w:val="0"/>
          <w:numId w:val="4"/>
        </w:numPr>
        <w:jc w:val="both"/>
        <w:rPr>
          <w:rFonts w:ascii="Calibri" w:hAnsi="Calibri"/>
        </w:rPr>
      </w:pPr>
      <w:proofErr w:type="gramStart"/>
      <w:r>
        <w:t>de</w:t>
      </w:r>
      <w:proofErr w:type="gramEnd"/>
      <w:r>
        <w:t xml:space="preserve"> la chambre tampon n°6</w:t>
      </w:r>
    </w:p>
    <w:p w:rsidR="00D2517F" w:rsidRPr="00D2517F" w:rsidRDefault="00D2517F" w:rsidP="00D2517F">
      <w:pPr>
        <w:pStyle w:val="Paragraphedeliste"/>
        <w:numPr>
          <w:ilvl w:val="0"/>
          <w:numId w:val="4"/>
        </w:numPr>
        <w:jc w:val="both"/>
        <w:rPr>
          <w:rFonts w:ascii="Calibri" w:hAnsi="Calibri"/>
        </w:rPr>
      </w:pPr>
      <w:proofErr w:type="gramStart"/>
      <w:r>
        <w:t>de</w:t>
      </w:r>
      <w:proofErr w:type="gramEnd"/>
      <w:r>
        <w:t xml:space="preserve"> la chambre préparations froides n°7</w:t>
      </w:r>
    </w:p>
    <w:p w:rsidR="00D2517F" w:rsidRPr="00D2517F" w:rsidRDefault="00D2517F" w:rsidP="00D2517F">
      <w:pPr>
        <w:pStyle w:val="Paragraphedeliste"/>
        <w:numPr>
          <w:ilvl w:val="0"/>
          <w:numId w:val="4"/>
        </w:numPr>
        <w:jc w:val="both"/>
        <w:rPr>
          <w:rFonts w:ascii="Calibri" w:hAnsi="Calibri"/>
        </w:rPr>
      </w:pPr>
      <w:proofErr w:type="gramStart"/>
      <w:r>
        <w:t>de</w:t>
      </w:r>
      <w:proofErr w:type="gramEnd"/>
      <w:r>
        <w:t xml:space="preserve"> la chambre </w:t>
      </w:r>
      <w:r w:rsidR="00BA67A2">
        <w:t>Pâtisseries</w:t>
      </w:r>
      <w:r>
        <w:t xml:space="preserve"> n°8</w:t>
      </w:r>
    </w:p>
    <w:p w:rsidR="00D2517F" w:rsidRPr="00D2517F" w:rsidRDefault="00D2517F" w:rsidP="00D2517F">
      <w:pPr>
        <w:pStyle w:val="Paragraphedeliste"/>
        <w:numPr>
          <w:ilvl w:val="0"/>
          <w:numId w:val="4"/>
        </w:numPr>
        <w:jc w:val="both"/>
        <w:rPr>
          <w:rFonts w:ascii="Calibri" w:hAnsi="Calibri"/>
        </w:rPr>
      </w:pPr>
      <w:proofErr w:type="gramStart"/>
      <w:r>
        <w:t>local</w:t>
      </w:r>
      <w:proofErr w:type="gramEnd"/>
      <w:r>
        <w:t xml:space="preserve"> poubelles</w:t>
      </w:r>
    </w:p>
    <w:p w:rsidR="00BA67A2" w:rsidRPr="00BA67A2" w:rsidRDefault="00D2517F" w:rsidP="00D2517F">
      <w:pPr>
        <w:pStyle w:val="Paragraphedeliste"/>
        <w:numPr>
          <w:ilvl w:val="0"/>
          <w:numId w:val="4"/>
        </w:numPr>
        <w:jc w:val="both"/>
        <w:rPr>
          <w:rFonts w:ascii="Calibri" w:hAnsi="Calibri"/>
        </w:rPr>
      </w:pPr>
      <w:proofErr w:type="gramStart"/>
      <w:r>
        <w:t>des</w:t>
      </w:r>
      <w:proofErr w:type="gramEnd"/>
      <w:r>
        <w:t xml:space="preserve"> armoires frigorifiques des Bars Océan et Oasis</w:t>
      </w:r>
    </w:p>
    <w:p w:rsidR="00BA67A2" w:rsidRPr="00BA67A2" w:rsidRDefault="00BA67A2" w:rsidP="00BA67A2">
      <w:pPr>
        <w:pStyle w:val="Paragraphedeliste"/>
        <w:numPr>
          <w:ilvl w:val="0"/>
          <w:numId w:val="4"/>
        </w:numPr>
        <w:jc w:val="both"/>
        <w:rPr>
          <w:rFonts w:ascii="Calibri" w:hAnsi="Calibri"/>
        </w:rPr>
      </w:pPr>
      <w:proofErr w:type="gramStart"/>
      <w:r>
        <w:t>de</w:t>
      </w:r>
      <w:proofErr w:type="gramEnd"/>
      <w:r>
        <w:t xml:space="preserve"> la chambre froide salle Surcouf</w:t>
      </w:r>
    </w:p>
    <w:p w:rsidR="00BA67A2" w:rsidRPr="00BA67A2" w:rsidRDefault="00BA67A2" w:rsidP="00BA67A2">
      <w:pPr>
        <w:pStyle w:val="Paragraphedeliste"/>
        <w:numPr>
          <w:ilvl w:val="0"/>
          <w:numId w:val="4"/>
        </w:numPr>
        <w:jc w:val="both"/>
        <w:rPr>
          <w:rFonts w:ascii="Calibri" w:hAnsi="Calibri"/>
        </w:rPr>
      </w:pPr>
      <w:proofErr w:type="gramStart"/>
      <w:r w:rsidRPr="00BA67A2">
        <w:t>tous</w:t>
      </w:r>
      <w:proofErr w:type="gramEnd"/>
      <w:r w:rsidRPr="00BA67A2">
        <w:t xml:space="preserve"> les équipements associés complémentaires</w:t>
      </w:r>
      <w:r>
        <w:t xml:space="preserve"> (liaisons frigorifiques calorifugée ou non, les récupérations de condensats, les installations électriques, portes isothermes, appareillage de commande, et régulation, les rayonnages…</w:t>
      </w:r>
    </w:p>
    <w:p w:rsidR="00BA67A2" w:rsidRDefault="00BA67A2">
      <w:pPr>
        <w:rPr>
          <w:rFonts w:ascii="Calibri" w:hAnsi="Calibri"/>
        </w:rPr>
      </w:pPr>
      <w:r>
        <w:rPr>
          <w:rFonts w:ascii="Calibri" w:hAnsi="Calibri"/>
        </w:rPr>
        <w:br w:type="page"/>
      </w:r>
    </w:p>
    <w:p w:rsidR="00BA67A2" w:rsidRDefault="00BA67A2" w:rsidP="00BA67A2">
      <w:pPr>
        <w:ind w:left="360"/>
        <w:jc w:val="both"/>
        <w:rPr>
          <w:rFonts w:ascii="Calibri" w:hAnsi="Calibri"/>
        </w:rPr>
      </w:pPr>
    </w:p>
    <w:p w:rsidR="00BA67A2" w:rsidRPr="0094130F" w:rsidRDefault="00BA67A2" w:rsidP="00BA67A2">
      <w:pPr>
        <w:shd w:val="clear" w:color="auto" w:fill="EEECE1"/>
        <w:rPr>
          <w:rFonts w:ascii="Calibri" w:hAnsi="Calibri"/>
          <w:b/>
          <w:caps/>
          <w14:shadow w14:blurRad="50800" w14:dist="38100" w14:dir="2700000" w14:sx="100000" w14:sy="100000" w14:kx="0" w14:ky="0" w14:algn="tl">
            <w14:srgbClr w14:val="000000">
              <w14:alpha w14:val="60000"/>
            </w14:srgbClr>
          </w14:shadow>
        </w:rPr>
      </w:pPr>
      <w:r w:rsidRPr="00CB0B1E">
        <w:rPr>
          <w:rFonts w:ascii="Calibri" w:hAnsi="Calibri"/>
          <w:b/>
        </w:rPr>
        <w:t xml:space="preserve">3. </w:t>
      </w:r>
      <w:r w:rsidRPr="00CB0B1E">
        <w:rPr>
          <w:rFonts w:ascii="Calibri" w:hAnsi="Calibri"/>
          <w:b/>
        </w:rPr>
        <w:tab/>
        <w:t>PRESTATIONS FORFAITAIRES DE BASE</w:t>
      </w:r>
    </w:p>
    <w:p w:rsidR="00BA67A2" w:rsidRDefault="00BA67A2" w:rsidP="00BA67A2">
      <w:pPr>
        <w:spacing w:before="120" w:after="120" w:line="240" w:lineRule="auto"/>
        <w:ind w:left="1080"/>
        <w:jc w:val="both"/>
        <w:rPr>
          <w:b/>
        </w:rPr>
      </w:pPr>
      <w:r>
        <w:rPr>
          <w:rFonts w:ascii="Calibri" w:hAnsi="Calibri"/>
          <w:b/>
          <w:bCs/>
        </w:rPr>
        <w:t xml:space="preserve">3.1. </w:t>
      </w:r>
      <w:r>
        <w:rPr>
          <w:b/>
        </w:rPr>
        <w:t>Obligation du titulaire.</w:t>
      </w:r>
    </w:p>
    <w:p w:rsidR="00BA67A2" w:rsidRPr="0086271C" w:rsidRDefault="00BA67A2" w:rsidP="00BA67A2">
      <w:pPr>
        <w:pStyle w:val="Paragraphedeliste"/>
        <w:numPr>
          <w:ilvl w:val="0"/>
          <w:numId w:val="6"/>
        </w:numPr>
        <w:spacing w:before="120" w:after="120" w:line="240" w:lineRule="auto"/>
        <w:jc w:val="both"/>
      </w:pPr>
      <w:r w:rsidRPr="00B662C8">
        <w:rPr>
          <w:rFonts w:ascii="Calibri" w:hAnsi="Calibri"/>
          <w:bCs/>
        </w:rPr>
        <w:t xml:space="preserve">Maintenance préventive </w:t>
      </w:r>
    </w:p>
    <w:p w:rsidR="00BA67A2" w:rsidRDefault="00BA67A2" w:rsidP="00BA67A2">
      <w:pPr>
        <w:jc w:val="both"/>
      </w:pPr>
      <w:r w:rsidRPr="002A73DB">
        <w:t>Les gammes de maintenance regroupées dans le tableau ci-</w:t>
      </w:r>
      <w:r>
        <w:t>dessous</w:t>
      </w:r>
      <w:r w:rsidRPr="002A73DB">
        <w:t>, sont proposées au titulaire. Il lui</w:t>
      </w:r>
      <w:r>
        <w:t xml:space="preserve"> </w:t>
      </w:r>
      <w:r w:rsidRPr="002A73DB">
        <w:t>appartient de les adapter et préciser toutes les opérations complémentaires, conformes aux</w:t>
      </w:r>
      <w:r>
        <w:t xml:space="preserve"> </w:t>
      </w:r>
      <w:r w:rsidRPr="002A73DB">
        <w:t>exigences du constructeur</w:t>
      </w:r>
      <w:r>
        <w:t>.</w:t>
      </w:r>
    </w:p>
    <w:p w:rsidR="00BA67A2" w:rsidRDefault="00BA67A2" w:rsidP="00BA67A2">
      <w:pPr>
        <w:jc w:val="both"/>
        <w:rPr>
          <w:rFonts w:ascii="Calibri" w:hAnsi="Calibri"/>
        </w:rPr>
      </w:pPr>
    </w:p>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C91DDF" w:rsidRPr="00C91DDF" w:rsidTr="00C91DDF">
        <w:trPr>
          <w:trHeight w:val="73"/>
        </w:trPr>
        <w:tc>
          <w:tcPr>
            <w:tcW w:w="6720" w:type="dxa"/>
            <w:tcBorders>
              <w:top w:val="nil"/>
              <w:left w:val="nil"/>
              <w:bottom w:val="nil"/>
              <w:right w:val="nil"/>
            </w:tcBorders>
            <w:shd w:val="clear" w:color="auto" w:fill="auto"/>
            <w:vAlign w:val="center"/>
            <w:hideMark/>
          </w:tcPr>
          <w:p w:rsidR="00C91DDF" w:rsidRPr="00C91DDF" w:rsidRDefault="00C91DDF" w:rsidP="00C91DDF">
            <w:pPr>
              <w:spacing w:after="0" w:line="240" w:lineRule="auto"/>
              <w:rPr>
                <w:rFonts w:ascii="Times New Roman" w:eastAsia="Times New Roman" w:hAnsi="Times New Roman" w:cs="Times New Roman"/>
                <w:sz w:val="24"/>
                <w:szCs w:val="24"/>
                <w:lang w:eastAsia="fr-FR"/>
              </w:rPr>
            </w:pPr>
          </w:p>
        </w:tc>
        <w:tc>
          <w:tcPr>
            <w:tcW w:w="460" w:type="dxa"/>
            <w:tcBorders>
              <w:top w:val="single" w:sz="4" w:space="0" w:color="auto"/>
              <w:left w:val="single" w:sz="4" w:space="0" w:color="auto"/>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SB</w:t>
            </w:r>
          </w:p>
        </w:tc>
      </w:tr>
      <w:tr w:rsidR="00C91DDF" w:rsidRPr="00C91DDF" w:rsidTr="00C91DDF">
        <w:trPr>
          <w:trHeight w:val="190"/>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rsidR="00C91DDF" w:rsidRPr="00C91DDF" w:rsidRDefault="00C91DDF" w:rsidP="00C91DDF">
            <w:pPr>
              <w:spacing w:after="0" w:line="240" w:lineRule="auto"/>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Groupes frigorifiques</w:t>
            </w:r>
          </w:p>
        </w:tc>
      </w:tr>
      <w:tr w:rsidR="00C91DDF" w:rsidRPr="00C91DDF" w:rsidTr="00C91DDF">
        <w:trPr>
          <w:trHeight w:val="284"/>
        </w:trPr>
        <w:tc>
          <w:tcPr>
            <w:tcW w:w="6720" w:type="dxa"/>
            <w:tcBorders>
              <w:top w:val="single" w:sz="8" w:space="0" w:color="auto"/>
              <w:left w:val="single" w:sz="8" w:space="0" w:color="auto"/>
              <w:bottom w:val="single" w:sz="8"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de l’état anhydre des circuits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r>
      <w:tr w:rsidR="00C91DDF" w:rsidRPr="00C91DDF" w:rsidTr="00C91DDF">
        <w:trPr>
          <w:trHeight w:val="246"/>
        </w:trPr>
        <w:tc>
          <w:tcPr>
            <w:tcW w:w="6720" w:type="dxa"/>
            <w:tcBorders>
              <w:top w:val="nil"/>
              <w:left w:val="single" w:sz="8" w:space="0" w:color="auto"/>
              <w:bottom w:val="single" w:sz="8"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de la charge en fluide frigorigène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r>
      <w:tr w:rsidR="00C91DDF" w:rsidRPr="00C91DDF" w:rsidTr="00C91DDF">
        <w:trPr>
          <w:trHeight w:val="66"/>
        </w:trPr>
        <w:tc>
          <w:tcPr>
            <w:tcW w:w="6720" w:type="dxa"/>
            <w:tcBorders>
              <w:top w:val="nil"/>
              <w:left w:val="single" w:sz="8" w:space="0" w:color="auto"/>
              <w:bottom w:val="single" w:sz="8"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des niveaux d’huile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des pressions HP / BP et régulations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187"/>
        </w:trPr>
        <w:tc>
          <w:tcPr>
            <w:tcW w:w="6720" w:type="dxa"/>
            <w:tcBorders>
              <w:top w:val="nil"/>
              <w:left w:val="single" w:sz="8" w:space="0" w:color="auto"/>
              <w:bottom w:val="single" w:sz="8"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Relevé des intensités absorbées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134"/>
        </w:trPr>
        <w:tc>
          <w:tcPr>
            <w:tcW w:w="6720" w:type="dxa"/>
            <w:tcBorders>
              <w:top w:val="nil"/>
              <w:left w:val="single" w:sz="8" w:space="0" w:color="auto"/>
              <w:bottom w:val="single" w:sz="8"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Vidange selon heures de marche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r>
      <w:tr w:rsidR="00C91DDF" w:rsidRPr="00C91DDF" w:rsidTr="00C91DDF">
        <w:trPr>
          <w:trHeight w:val="60"/>
        </w:trPr>
        <w:tc>
          <w:tcPr>
            <w:tcW w:w="6720" w:type="dxa"/>
            <w:tcBorders>
              <w:top w:val="nil"/>
              <w:left w:val="single" w:sz="8" w:space="0" w:color="auto"/>
              <w:bottom w:val="single" w:sz="8"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 xml:space="preserve">Changement </w:t>
            </w:r>
            <w:proofErr w:type="spellStart"/>
            <w:r w:rsidRPr="00C91DDF">
              <w:rPr>
                <w:rFonts w:ascii="Calibri" w:eastAsia="Times New Roman" w:hAnsi="Calibri" w:cs="Calibri"/>
                <w:color w:val="000000"/>
                <w:lang w:eastAsia="fr-FR"/>
              </w:rPr>
              <w:t>déshydrateur</w:t>
            </w:r>
            <w:proofErr w:type="spellEnd"/>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r>
      <w:tr w:rsidR="00C91DDF" w:rsidRPr="00C91DDF" w:rsidTr="00C91DDF">
        <w:trPr>
          <w:trHeight w:val="170"/>
        </w:trPr>
        <w:tc>
          <w:tcPr>
            <w:tcW w:w="6720" w:type="dxa"/>
            <w:tcBorders>
              <w:top w:val="nil"/>
              <w:left w:val="single" w:sz="8" w:space="0" w:color="auto"/>
              <w:bottom w:val="single" w:sz="8"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de l’état des calorifuges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état condenseurs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r>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12" w:space="0" w:color="auto"/>
              <w:right w:val="single" w:sz="12"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Nettoyage batteries des condenseurs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r>
    </w:tbl>
    <w:p w:rsidR="00C91DDF" w:rsidRDefault="00C91DDF" w:rsidP="00BA67A2">
      <w:pPr>
        <w:jc w:val="both"/>
        <w:rPr>
          <w:rFonts w:ascii="Calibri" w:hAnsi="Calibri"/>
        </w:rPr>
      </w:pPr>
    </w:p>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C91DDF" w:rsidRPr="00C91DDF" w:rsidTr="00C91DDF">
        <w:trPr>
          <w:trHeight w:val="70"/>
        </w:trPr>
        <w:tc>
          <w:tcPr>
            <w:tcW w:w="6720" w:type="dxa"/>
            <w:tcBorders>
              <w:top w:val="nil"/>
              <w:left w:val="nil"/>
              <w:bottom w:val="nil"/>
              <w:right w:val="nil"/>
            </w:tcBorders>
            <w:shd w:val="clear" w:color="auto" w:fill="auto"/>
            <w:vAlign w:val="center"/>
            <w:hideMark/>
          </w:tcPr>
          <w:p w:rsidR="00C91DDF" w:rsidRPr="00C91DDF" w:rsidRDefault="00C91DDF" w:rsidP="00C91DDF">
            <w:pPr>
              <w:spacing w:after="0" w:line="240" w:lineRule="auto"/>
              <w:rPr>
                <w:rFonts w:ascii="Times New Roman" w:eastAsia="Times New Roman" w:hAnsi="Times New Roman" w:cs="Times New Roman"/>
                <w:sz w:val="24"/>
                <w:szCs w:val="24"/>
                <w:lang w:eastAsia="fr-FR"/>
              </w:rPr>
            </w:pPr>
          </w:p>
        </w:tc>
        <w:tc>
          <w:tcPr>
            <w:tcW w:w="460" w:type="dxa"/>
            <w:tcBorders>
              <w:top w:val="single" w:sz="4" w:space="0" w:color="auto"/>
              <w:left w:val="single" w:sz="4" w:space="0" w:color="auto"/>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SB</w:t>
            </w:r>
          </w:p>
        </w:tc>
      </w:tr>
      <w:tr w:rsidR="00C91DDF" w:rsidRPr="00C91DDF" w:rsidTr="00C91DDF">
        <w:trPr>
          <w:trHeight w:val="70"/>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rsidR="00C91DDF" w:rsidRPr="00C91DDF" w:rsidRDefault="00C91DDF" w:rsidP="00C91DDF">
            <w:pPr>
              <w:spacing w:after="0" w:line="240" w:lineRule="auto"/>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 xml:space="preserve">Armoires électriques et régulation </w:t>
            </w:r>
          </w:p>
        </w:tc>
      </w:tr>
      <w:tr w:rsidR="00C91DDF" w:rsidRPr="00C91DDF" w:rsidTr="00C91DDF">
        <w:trPr>
          <w:trHeight w:val="122"/>
        </w:trPr>
        <w:tc>
          <w:tcPr>
            <w:tcW w:w="6720" w:type="dxa"/>
            <w:tcBorders>
              <w:top w:val="single" w:sz="12" w:space="0" w:color="auto"/>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de l’horloge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Nettoyage désinfection des évaporateurs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r>
      <w:tr w:rsidR="00C91DDF" w:rsidRPr="00C91DDF" w:rsidTr="00C91DDF">
        <w:trPr>
          <w:trHeight w:val="112"/>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de l’étanchéité des portes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de l’état de la résistance de dégivrage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Relevé d’intensité et d’isolement résistance de dégivrage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du fonctionnement des ventilateurs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de l’étalonnage des appareils de mesure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77"/>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Essai du dispositif d’alarme sonore situé à l’intérieur</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Essai d’ouverture de la porte de l’intérieur (homme enfermé)</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4"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du fonctionnement de l’éclairage intérieur</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single" w:sz="4" w:space="0" w:color="auto"/>
              <w:left w:val="single" w:sz="4" w:space="0" w:color="auto"/>
              <w:bottom w:val="single" w:sz="4" w:space="0" w:color="auto"/>
              <w:right w:val="nil"/>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Rondes avec relevés des températures</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70"/>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r w:rsidRPr="00C91DDF">
              <w:rPr>
                <w:rFonts w:ascii="Calibri" w:eastAsia="Times New Roman" w:hAnsi="Calibri" w:cs="Calibri"/>
                <w:color w:val="000000"/>
                <w:lang w:eastAsia="fr-FR"/>
              </w:rPr>
              <w:t>Contrôle du dispositif d'alarme température (proximité et report)</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both"/>
              <w:rPr>
                <w:rFonts w:ascii="Calibri" w:eastAsia="Times New Roman" w:hAnsi="Calibri" w:cs="Calibri"/>
                <w:color w:val="000000"/>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Times New Roman" w:eastAsia="Times New Roman" w:hAnsi="Times New Roman" w:cs="Times New Roman"/>
                <w:sz w:val="20"/>
                <w:szCs w:val="20"/>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Times New Roman" w:eastAsia="Times New Roman" w:hAnsi="Times New Roman" w:cs="Times New Roman"/>
                <w:sz w:val="20"/>
                <w:szCs w:val="20"/>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Times New Roman" w:eastAsia="Times New Roman" w:hAnsi="Times New Roman" w:cs="Times New Roman"/>
                <w:sz w:val="20"/>
                <w:szCs w:val="20"/>
                <w:lang w:eastAsia="fr-FR"/>
              </w:rPr>
            </w:pPr>
          </w:p>
        </w:tc>
      </w:tr>
    </w:tbl>
    <w:p w:rsidR="00C91DDF" w:rsidRPr="00BA67A2" w:rsidRDefault="00C91DDF" w:rsidP="00BA67A2">
      <w:pPr>
        <w:jc w:val="both"/>
        <w:rPr>
          <w:rFonts w:ascii="Calibri" w:hAnsi="Calibri"/>
        </w:rPr>
      </w:pPr>
    </w:p>
    <w:p w:rsidR="00C91DDF" w:rsidRDefault="00C91DDF">
      <w:pPr>
        <w:rPr>
          <w:rFonts w:ascii="Calibri" w:hAnsi="Calibri"/>
        </w:rPr>
      </w:pPr>
      <w:r>
        <w:rPr>
          <w:rFonts w:ascii="Calibri" w:hAnsi="Calibri"/>
        </w:rPr>
        <w:br w:type="page"/>
      </w:r>
    </w:p>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C91DDF" w:rsidRPr="00C91DDF" w:rsidTr="00C91DDF">
        <w:trPr>
          <w:trHeight w:val="70"/>
        </w:trPr>
        <w:tc>
          <w:tcPr>
            <w:tcW w:w="6720" w:type="dxa"/>
            <w:tcBorders>
              <w:top w:val="nil"/>
              <w:left w:val="nil"/>
              <w:bottom w:val="nil"/>
              <w:right w:val="nil"/>
            </w:tcBorders>
            <w:shd w:val="clear" w:color="auto" w:fill="auto"/>
            <w:vAlign w:val="center"/>
            <w:hideMark/>
          </w:tcPr>
          <w:p w:rsidR="00C91DDF" w:rsidRPr="00C91DDF" w:rsidRDefault="00C91DDF" w:rsidP="00C91DDF">
            <w:pPr>
              <w:spacing w:after="0" w:line="240" w:lineRule="auto"/>
              <w:rPr>
                <w:rFonts w:ascii="Times New Roman" w:eastAsia="Times New Roman" w:hAnsi="Times New Roman" w:cs="Times New Roman"/>
                <w:sz w:val="24"/>
                <w:szCs w:val="24"/>
                <w:lang w:eastAsia="fr-FR"/>
              </w:rPr>
            </w:pPr>
          </w:p>
        </w:tc>
        <w:tc>
          <w:tcPr>
            <w:tcW w:w="460" w:type="dxa"/>
            <w:tcBorders>
              <w:top w:val="single" w:sz="4" w:space="0" w:color="auto"/>
              <w:left w:val="single" w:sz="4" w:space="0" w:color="auto"/>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rsidR="00C91DDF" w:rsidRPr="00C91DDF" w:rsidRDefault="00C91DDF" w:rsidP="00C91DDF">
            <w:pPr>
              <w:spacing w:after="0" w:line="240" w:lineRule="auto"/>
              <w:jc w:val="center"/>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SB</w:t>
            </w:r>
          </w:p>
        </w:tc>
      </w:tr>
      <w:tr w:rsidR="00C91DDF" w:rsidRPr="00C91DDF" w:rsidTr="00C91DDF">
        <w:trPr>
          <w:trHeight w:val="70"/>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rsidR="00C91DDF" w:rsidRPr="00C91DDF" w:rsidRDefault="00C91DDF" w:rsidP="00C91DDF">
            <w:pPr>
              <w:spacing w:after="0" w:line="240" w:lineRule="auto"/>
              <w:rPr>
                <w:rFonts w:ascii="Calibri" w:eastAsia="Times New Roman" w:hAnsi="Calibri" w:cs="Calibri"/>
                <w:b/>
                <w:bCs/>
                <w:color w:val="000000"/>
                <w:lang w:eastAsia="fr-FR"/>
              </w:rPr>
            </w:pPr>
            <w:r w:rsidRPr="00C91DDF">
              <w:rPr>
                <w:rFonts w:ascii="Calibri" w:eastAsia="Times New Roman" w:hAnsi="Calibri" w:cs="Calibri"/>
                <w:b/>
                <w:bCs/>
                <w:color w:val="000000"/>
                <w:lang w:eastAsia="fr-FR"/>
              </w:rPr>
              <w:t>Portes isothermes</w:t>
            </w:r>
          </w:p>
        </w:tc>
      </w:tr>
      <w:tr w:rsidR="00C91DDF" w:rsidRPr="00C91DDF" w:rsidTr="00C91DDF">
        <w:trPr>
          <w:trHeight w:val="139"/>
        </w:trPr>
        <w:tc>
          <w:tcPr>
            <w:tcW w:w="6720" w:type="dxa"/>
            <w:tcBorders>
              <w:top w:val="single" w:sz="8" w:space="0" w:color="auto"/>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Vérification du bon fonctionnement de la porte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285"/>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Contrôler l’état général des vantaux, des profils d’étanchéité sur la maçonnerie et des joints afin de maintenir une isolation thermique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279"/>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Contrôler l’état et l’usure du rail (vérifier qu’aucun obstacle n’altère le guidage)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Graissage du rail (si nécessaire)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Contrôler les chariots de guidage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Vérifier les fixations et le fonctionnement des accessoires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Vérifier la fixation du rail sur la maçonnerie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Vérification des résistances chauffantes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264"/>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Vérification de bon fonctionnement de la motorisation et accessoires associés (courroie ou chaîne d’entraînement et fin de course).</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Vérification des organes de sécurité et des commandes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Nettoyage des vitres cellules et réflecteurs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Réglage éventuel des vitesses et de la temporisation</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Vérification de l’ensemble des connexions électriques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2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Nettoyage du vantail après intervention avec un détergent doux et non agressif préconisé  par le fabricant</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Mesure des isolements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r w:rsidR="00C91DDF" w:rsidRPr="00C91DDF" w:rsidTr="00C91DDF">
        <w:trPr>
          <w:trHeight w:val="60"/>
        </w:trPr>
        <w:tc>
          <w:tcPr>
            <w:tcW w:w="6720" w:type="dxa"/>
            <w:tcBorders>
              <w:top w:val="nil"/>
              <w:left w:val="single" w:sz="8" w:space="0" w:color="auto"/>
              <w:bottom w:val="single" w:sz="8" w:space="0" w:color="auto"/>
              <w:right w:val="nil"/>
            </w:tcBorders>
            <w:shd w:val="clear" w:color="auto" w:fill="auto"/>
            <w:vAlign w:val="center"/>
            <w:hideMark/>
          </w:tcPr>
          <w:p w:rsidR="00C91DDF" w:rsidRPr="00C91DDF" w:rsidRDefault="00C91DDF" w:rsidP="00C91DDF">
            <w:pPr>
              <w:spacing w:after="0" w:line="240" w:lineRule="auto"/>
              <w:rPr>
                <w:rFonts w:ascii="Calibri" w:eastAsia="Times New Roman" w:hAnsi="Calibri" w:cs="Calibri"/>
                <w:color w:val="000000"/>
                <w:lang w:eastAsia="fr-FR"/>
              </w:rPr>
            </w:pPr>
            <w:r w:rsidRPr="00C91DDF">
              <w:rPr>
                <w:rFonts w:ascii="Calibri" w:eastAsia="Times New Roman" w:hAnsi="Calibri" w:cs="Calibri"/>
                <w:color w:val="000000"/>
                <w:lang w:eastAsia="fr-FR"/>
              </w:rPr>
              <w:t>Réglages</w:t>
            </w: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rsidR="00C91DDF" w:rsidRPr="00C91DDF" w:rsidRDefault="00C91DDF" w:rsidP="00C91DDF">
            <w:pPr>
              <w:spacing w:after="0" w:line="240" w:lineRule="auto"/>
              <w:jc w:val="center"/>
              <w:rPr>
                <w:rFonts w:ascii="Calibri" w:eastAsia="Times New Roman" w:hAnsi="Calibri" w:cs="Calibri"/>
                <w:color w:val="000000"/>
                <w:lang w:eastAsia="fr-FR"/>
              </w:rPr>
            </w:pPr>
            <w:r w:rsidRPr="00C91DDF">
              <w:rPr>
                <w:rFonts w:ascii="Calibri" w:eastAsia="Times New Roman" w:hAnsi="Calibri" w:cs="Calibri"/>
                <w:color w:val="000000"/>
                <w:lang w:eastAsia="fr-FR"/>
              </w:rPr>
              <w:t> </w:t>
            </w:r>
          </w:p>
        </w:tc>
      </w:tr>
    </w:tbl>
    <w:p w:rsidR="00D2517F" w:rsidRPr="00D2517F" w:rsidRDefault="00D2517F" w:rsidP="00D2517F">
      <w:pPr>
        <w:pStyle w:val="Paragraphedeliste"/>
        <w:jc w:val="both"/>
        <w:rPr>
          <w:rFonts w:ascii="Calibri" w:hAnsi="Calibri"/>
        </w:rPr>
      </w:pPr>
    </w:p>
    <w:p w:rsidR="00C91DDF" w:rsidRPr="00D669E0" w:rsidRDefault="00C91DDF" w:rsidP="00C91DDF">
      <w:pPr>
        <w:rPr>
          <w:u w:val="single"/>
        </w:rPr>
      </w:pPr>
      <w:r w:rsidRPr="00D669E0">
        <w:rPr>
          <w:u w:val="single"/>
        </w:rPr>
        <w:t>Maintenance corrective</w:t>
      </w:r>
    </w:p>
    <w:p w:rsidR="00C91DDF" w:rsidRDefault="00C91DDF" w:rsidP="00C91DDF">
      <w:r>
        <w:t>A la demande des utilis</w:t>
      </w:r>
      <w:r w:rsidR="00D915FB">
        <w:t xml:space="preserve">ateurs ou du représentant du </w:t>
      </w:r>
      <w:r>
        <w:t>SID, selon les clauses inscrites aux CCTP et CCAP.</w:t>
      </w:r>
    </w:p>
    <w:p w:rsidR="00D2517F" w:rsidRDefault="00D2517F"/>
    <w:sectPr w:rsidR="00D251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A0CFC"/>
    <w:multiLevelType w:val="hybridMultilevel"/>
    <w:tmpl w:val="87B6F9B0"/>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 w15:restartNumberingAfterBreak="0">
    <w:nsid w:val="27E712C5"/>
    <w:multiLevelType w:val="hybridMultilevel"/>
    <w:tmpl w:val="85CC78C2"/>
    <w:lvl w:ilvl="0" w:tplc="49AA5822">
      <w:start w:val="1"/>
      <w:numFmt w:val="bullet"/>
      <w:lvlText w:val="-"/>
      <w:lvlJc w:val="left"/>
      <w:pPr>
        <w:tabs>
          <w:tab w:val="num" w:pos="737"/>
        </w:tabs>
        <w:ind w:left="737" w:hanging="454"/>
      </w:pPr>
      <w:rPr>
        <w:rFonts w:ascii="Arial" w:hAnsi="Arial"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2" w15:restartNumberingAfterBreak="0">
    <w:nsid w:val="434F729D"/>
    <w:multiLevelType w:val="hybridMultilevel"/>
    <w:tmpl w:val="0E60D0DA"/>
    <w:lvl w:ilvl="0" w:tplc="BD748CB8">
      <w:start w:val="1"/>
      <w:numFmt w:val="bullet"/>
      <w:pStyle w:val="Style1"/>
      <w:lvlText w:val=""/>
      <w:lvlJc w:val="left"/>
      <w:pPr>
        <w:tabs>
          <w:tab w:val="num" w:pos="737"/>
        </w:tabs>
        <w:ind w:left="737" w:hanging="454"/>
      </w:pPr>
      <w:rPr>
        <w:rFonts w:ascii="Wingdings" w:hAnsi="Wingding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3" w15:restartNumberingAfterBreak="0">
    <w:nsid w:val="567F7CC1"/>
    <w:multiLevelType w:val="hybridMultilevel"/>
    <w:tmpl w:val="7A22D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08D4FBE"/>
    <w:multiLevelType w:val="hybridMultilevel"/>
    <w:tmpl w:val="6E90F4D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6B9B58CB"/>
    <w:multiLevelType w:val="multilevel"/>
    <w:tmpl w:val="C99047F4"/>
    <w:lvl w:ilvl="0">
      <w:start w:val="1"/>
      <w:numFmt w:val="decimal"/>
      <w:pStyle w:val="Titre1"/>
      <w:lvlText w:val="%1"/>
      <w:lvlJc w:val="left"/>
      <w:pPr>
        <w:tabs>
          <w:tab w:val="num" w:pos="789"/>
        </w:tabs>
        <w:ind w:left="789" w:hanging="432"/>
      </w:pPr>
      <w:rPr>
        <w:rFonts w:hint="default"/>
      </w:rPr>
    </w:lvl>
    <w:lvl w:ilvl="1">
      <w:start w:val="1"/>
      <w:numFmt w:val="decimal"/>
      <w:pStyle w:val="Titre2"/>
      <w:lvlText w:val="%1.%2"/>
      <w:lvlJc w:val="left"/>
      <w:pPr>
        <w:tabs>
          <w:tab w:val="num" w:pos="933"/>
        </w:tabs>
        <w:ind w:left="933" w:hanging="576"/>
      </w:pPr>
      <w:rPr>
        <w:rFonts w:hint="default"/>
      </w:rPr>
    </w:lvl>
    <w:lvl w:ilvl="2">
      <w:start w:val="1"/>
      <w:numFmt w:val="decimal"/>
      <w:pStyle w:val="Titre3"/>
      <w:lvlText w:val="%1.%2.%3"/>
      <w:lvlJc w:val="left"/>
      <w:pPr>
        <w:tabs>
          <w:tab w:val="num" w:pos="1077"/>
        </w:tabs>
        <w:ind w:left="1077" w:hanging="720"/>
      </w:pPr>
    </w:lvl>
    <w:lvl w:ilvl="3">
      <w:start w:val="1"/>
      <w:numFmt w:val="decimal"/>
      <w:pStyle w:val="Titre4"/>
      <w:lvlText w:val="%1.%2.%3.%4"/>
      <w:lvlJc w:val="left"/>
      <w:pPr>
        <w:tabs>
          <w:tab w:val="num" w:pos="1221"/>
        </w:tabs>
        <w:ind w:left="1221" w:hanging="864"/>
      </w:pPr>
    </w:lvl>
    <w:lvl w:ilvl="4">
      <w:start w:val="1"/>
      <w:numFmt w:val="decimal"/>
      <w:pStyle w:val="Titre5"/>
      <w:lvlText w:val="%1.%2.%3.%4.%5"/>
      <w:lvlJc w:val="left"/>
      <w:pPr>
        <w:tabs>
          <w:tab w:val="num" w:pos="1365"/>
        </w:tabs>
        <w:ind w:left="1365" w:hanging="1008"/>
      </w:pPr>
    </w:lvl>
    <w:lvl w:ilvl="5">
      <w:start w:val="1"/>
      <w:numFmt w:val="decimal"/>
      <w:pStyle w:val="Titre6"/>
      <w:lvlText w:val="%1.%2.%3.%4.%5.%6"/>
      <w:lvlJc w:val="left"/>
      <w:pPr>
        <w:tabs>
          <w:tab w:val="num" w:pos="1509"/>
        </w:tabs>
        <w:ind w:left="1509" w:hanging="1152"/>
      </w:pPr>
    </w:lvl>
    <w:lvl w:ilvl="6">
      <w:start w:val="1"/>
      <w:numFmt w:val="decimal"/>
      <w:pStyle w:val="Titre7"/>
      <w:lvlText w:val="%1.%2.%3.%4.%5.%6.%7"/>
      <w:lvlJc w:val="left"/>
      <w:pPr>
        <w:tabs>
          <w:tab w:val="num" w:pos="1653"/>
        </w:tabs>
        <w:ind w:left="1653" w:hanging="1296"/>
      </w:pPr>
    </w:lvl>
    <w:lvl w:ilvl="7">
      <w:start w:val="1"/>
      <w:numFmt w:val="decimal"/>
      <w:pStyle w:val="Titre8"/>
      <w:lvlText w:val="%1.%2.%3.%4.%5.%6.%7.%8"/>
      <w:lvlJc w:val="left"/>
      <w:pPr>
        <w:tabs>
          <w:tab w:val="num" w:pos="1797"/>
        </w:tabs>
        <w:ind w:left="1797" w:hanging="1440"/>
      </w:pPr>
    </w:lvl>
    <w:lvl w:ilvl="8">
      <w:start w:val="1"/>
      <w:numFmt w:val="decimal"/>
      <w:pStyle w:val="Titre9"/>
      <w:lvlText w:val="%1.%2.%3.%4.%5.%6.%7.%8.%9"/>
      <w:lvlJc w:val="left"/>
      <w:pPr>
        <w:tabs>
          <w:tab w:val="num" w:pos="1941"/>
        </w:tabs>
        <w:ind w:left="1941" w:hanging="1584"/>
      </w:pPr>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7F"/>
    <w:rsid w:val="00016A67"/>
    <w:rsid w:val="00050EC0"/>
    <w:rsid w:val="00AC08BA"/>
    <w:rsid w:val="00BA67A2"/>
    <w:rsid w:val="00C91DDF"/>
    <w:rsid w:val="00D2517F"/>
    <w:rsid w:val="00D915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70FD5"/>
  <w15:chartTrackingRefBased/>
  <w15:docId w15:val="{4FC95214-0929-40BC-A6D9-FFB8D2B0B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17F"/>
  </w:style>
  <w:style w:type="paragraph" w:styleId="Titre1">
    <w:name w:val="heading 1"/>
    <w:basedOn w:val="Normal"/>
    <w:next w:val="Normal"/>
    <w:link w:val="Titre1Car"/>
    <w:qFormat/>
    <w:rsid w:val="00D2517F"/>
    <w:pPr>
      <w:keepNext/>
      <w:numPr>
        <w:numId w:val="1"/>
      </w:numPr>
      <w:spacing w:before="200" w:after="0" w:line="240" w:lineRule="auto"/>
      <w:jc w:val="both"/>
      <w:outlineLvl w:val="0"/>
    </w:pPr>
    <w:rPr>
      <w:rFonts w:ascii="Calibri" w:eastAsia="Times New Roman" w:hAnsi="Calibri" w:cs="Times New Roman"/>
      <w:b/>
      <w:bCs/>
      <w:smallCaps/>
      <w:sz w:val="24"/>
      <w:szCs w:val="24"/>
      <w:lang w:eastAsia="fr-FR"/>
    </w:rPr>
  </w:style>
  <w:style w:type="paragraph" w:styleId="Titre2">
    <w:name w:val="heading 2"/>
    <w:basedOn w:val="Normal"/>
    <w:next w:val="Normal"/>
    <w:link w:val="Titre2Car"/>
    <w:qFormat/>
    <w:rsid w:val="00D2517F"/>
    <w:pPr>
      <w:keepNext/>
      <w:numPr>
        <w:ilvl w:val="1"/>
        <w:numId w:val="1"/>
      </w:numPr>
      <w:spacing w:before="240" w:after="180" w:line="240" w:lineRule="auto"/>
      <w:jc w:val="both"/>
      <w:outlineLvl w:val="1"/>
    </w:pPr>
    <w:rPr>
      <w:rFonts w:ascii="Calibri" w:eastAsia="Times New Roman" w:hAnsi="Calibri" w:cs="Arial"/>
      <w:bCs/>
      <w:iCs/>
      <w:u w:val="single"/>
      <w:lang w:eastAsia="fr-FR"/>
    </w:rPr>
  </w:style>
  <w:style w:type="paragraph" w:styleId="Titre3">
    <w:name w:val="heading 3"/>
    <w:basedOn w:val="Normal"/>
    <w:next w:val="Normal"/>
    <w:link w:val="Titre3Car"/>
    <w:qFormat/>
    <w:rsid w:val="00D2517F"/>
    <w:pPr>
      <w:keepNext/>
      <w:numPr>
        <w:ilvl w:val="2"/>
        <w:numId w:val="1"/>
      </w:numPr>
      <w:spacing w:before="240" w:after="60" w:line="240" w:lineRule="auto"/>
      <w:jc w:val="both"/>
      <w:outlineLvl w:val="2"/>
    </w:pPr>
    <w:rPr>
      <w:rFonts w:ascii="Calibri" w:eastAsia="Times New Roman" w:hAnsi="Calibri" w:cs="Arial"/>
      <w:b/>
      <w:bCs/>
      <w:sz w:val="26"/>
      <w:szCs w:val="26"/>
      <w:lang w:eastAsia="fr-FR"/>
    </w:rPr>
  </w:style>
  <w:style w:type="paragraph" w:styleId="Titre4">
    <w:name w:val="heading 4"/>
    <w:basedOn w:val="Normal"/>
    <w:next w:val="Normal"/>
    <w:link w:val="Titre4Car"/>
    <w:qFormat/>
    <w:rsid w:val="00D2517F"/>
    <w:pPr>
      <w:keepNext/>
      <w:numPr>
        <w:ilvl w:val="3"/>
        <w:numId w:val="1"/>
      </w:numPr>
      <w:spacing w:before="240" w:after="60" w:line="240" w:lineRule="auto"/>
      <w:jc w:val="both"/>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qFormat/>
    <w:rsid w:val="00D2517F"/>
    <w:pPr>
      <w:numPr>
        <w:ilvl w:val="4"/>
        <w:numId w:val="1"/>
      </w:numPr>
      <w:spacing w:before="240" w:after="60" w:line="240" w:lineRule="auto"/>
      <w:jc w:val="both"/>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qFormat/>
    <w:rsid w:val="00D2517F"/>
    <w:pPr>
      <w:numPr>
        <w:ilvl w:val="5"/>
        <w:numId w:val="1"/>
      </w:numPr>
      <w:spacing w:before="240" w:after="60" w:line="240" w:lineRule="auto"/>
      <w:jc w:val="both"/>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D2517F"/>
    <w:pPr>
      <w:numPr>
        <w:ilvl w:val="6"/>
        <w:numId w:val="1"/>
      </w:numPr>
      <w:spacing w:before="240" w:after="60" w:line="240" w:lineRule="auto"/>
      <w:jc w:val="both"/>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D2517F"/>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D2517F"/>
    <w:pPr>
      <w:numPr>
        <w:ilvl w:val="8"/>
        <w:numId w:val="1"/>
      </w:numPr>
      <w:spacing w:before="240" w:after="60" w:line="240" w:lineRule="auto"/>
      <w:jc w:val="both"/>
      <w:outlineLvl w:val="8"/>
    </w:pPr>
    <w:rPr>
      <w:rFonts w:ascii="Calibri" w:eastAsia="Times New Roman" w:hAnsi="Calibri"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2517F"/>
    <w:rPr>
      <w:rFonts w:ascii="Calibri" w:eastAsia="Times New Roman" w:hAnsi="Calibri" w:cs="Times New Roman"/>
      <w:b/>
      <w:bCs/>
      <w:smallCaps/>
      <w:sz w:val="24"/>
      <w:szCs w:val="24"/>
      <w:lang w:eastAsia="fr-FR"/>
    </w:rPr>
  </w:style>
  <w:style w:type="character" w:customStyle="1" w:styleId="Titre2Car">
    <w:name w:val="Titre 2 Car"/>
    <w:basedOn w:val="Policepardfaut"/>
    <w:link w:val="Titre2"/>
    <w:rsid w:val="00D2517F"/>
    <w:rPr>
      <w:rFonts w:ascii="Calibri" w:eastAsia="Times New Roman" w:hAnsi="Calibri" w:cs="Arial"/>
      <w:bCs/>
      <w:iCs/>
      <w:u w:val="single"/>
      <w:lang w:eastAsia="fr-FR"/>
    </w:rPr>
  </w:style>
  <w:style w:type="character" w:customStyle="1" w:styleId="Titre3Car">
    <w:name w:val="Titre 3 Car"/>
    <w:basedOn w:val="Policepardfaut"/>
    <w:link w:val="Titre3"/>
    <w:rsid w:val="00D2517F"/>
    <w:rPr>
      <w:rFonts w:ascii="Calibri" w:eastAsia="Times New Roman" w:hAnsi="Calibri" w:cs="Arial"/>
      <w:b/>
      <w:bCs/>
      <w:sz w:val="26"/>
      <w:szCs w:val="26"/>
      <w:lang w:eastAsia="fr-FR"/>
    </w:rPr>
  </w:style>
  <w:style w:type="character" w:customStyle="1" w:styleId="Titre4Car">
    <w:name w:val="Titre 4 Car"/>
    <w:basedOn w:val="Policepardfaut"/>
    <w:link w:val="Titre4"/>
    <w:rsid w:val="00D2517F"/>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rsid w:val="00D2517F"/>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rsid w:val="00D2517F"/>
    <w:rPr>
      <w:rFonts w:ascii="Times New Roman" w:eastAsia="Times New Roman" w:hAnsi="Times New Roman" w:cs="Times New Roman"/>
      <w:b/>
      <w:bCs/>
      <w:lang w:eastAsia="fr-FR"/>
    </w:rPr>
  </w:style>
  <w:style w:type="character" w:customStyle="1" w:styleId="Titre7Car">
    <w:name w:val="Titre 7 Car"/>
    <w:basedOn w:val="Policepardfaut"/>
    <w:link w:val="Titre7"/>
    <w:rsid w:val="00D2517F"/>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D2517F"/>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D2517F"/>
    <w:rPr>
      <w:rFonts w:ascii="Calibri" w:eastAsia="Times New Roman" w:hAnsi="Calibri" w:cs="Arial"/>
      <w:lang w:eastAsia="fr-FR"/>
    </w:rPr>
  </w:style>
  <w:style w:type="table" w:styleId="Grilledutableau">
    <w:name w:val="Table Grid"/>
    <w:basedOn w:val="TableauNormal"/>
    <w:uiPriority w:val="39"/>
    <w:rsid w:val="00D251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D2517F"/>
    <w:pPr>
      <w:spacing w:after="0" w:line="240" w:lineRule="auto"/>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rsid w:val="00D2517F"/>
    <w:rPr>
      <w:rFonts w:ascii="Times New Roman" w:eastAsia="Times New Roman" w:hAnsi="Times New Roman" w:cs="Times New Roman"/>
      <w:sz w:val="20"/>
      <w:szCs w:val="20"/>
      <w:lang w:eastAsia="fr-FR"/>
    </w:rPr>
  </w:style>
  <w:style w:type="paragraph" w:customStyle="1" w:styleId="Style1">
    <w:name w:val="Style1"/>
    <w:basedOn w:val="Normal"/>
    <w:link w:val="Style1Car"/>
    <w:qFormat/>
    <w:rsid w:val="00D2517F"/>
    <w:pPr>
      <w:numPr>
        <w:numId w:val="2"/>
      </w:numPr>
      <w:spacing w:before="60" w:after="0" w:line="240" w:lineRule="auto"/>
      <w:jc w:val="both"/>
    </w:pPr>
    <w:rPr>
      <w:rFonts w:ascii="Calibri" w:eastAsia="Times New Roman" w:hAnsi="Calibri" w:cs="Arial"/>
      <w:lang w:eastAsia="fr-FR"/>
    </w:rPr>
  </w:style>
  <w:style w:type="character" w:customStyle="1" w:styleId="Style1Car">
    <w:name w:val="Style1 Car"/>
    <w:link w:val="Style1"/>
    <w:rsid w:val="00D2517F"/>
    <w:rPr>
      <w:rFonts w:ascii="Calibri" w:eastAsia="Times New Roman" w:hAnsi="Calibri" w:cs="Arial"/>
      <w:lang w:eastAsia="fr-FR"/>
    </w:rPr>
  </w:style>
  <w:style w:type="paragraph" w:styleId="Paragraphedeliste">
    <w:name w:val="List Paragraph"/>
    <w:basedOn w:val="Normal"/>
    <w:uiPriority w:val="34"/>
    <w:qFormat/>
    <w:rsid w:val="00D251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82337">
      <w:bodyDiv w:val="1"/>
      <w:marLeft w:val="0"/>
      <w:marRight w:val="0"/>
      <w:marTop w:val="0"/>
      <w:marBottom w:val="0"/>
      <w:divBdr>
        <w:top w:val="none" w:sz="0" w:space="0" w:color="auto"/>
        <w:left w:val="none" w:sz="0" w:space="0" w:color="auto"/>
        <w:bottom w:val="none" w:sz="0" w:space="0" w:color="auto"/>
        <w:right w:val="none" w:sz="0" w:space="0" w:color="auto"/>
      </w:divBdr>
    </w:div>
    <w:div w:id="1450663549">
      <w:bodyDiv w:val="1"/>
      <w:marLeft w:val="0"/>
      <w:marRight w:val="0"/>
      <w:marTop w:val="0"/>
      <w:marBottom w:val="0"/>
      <w:divBdr>
        <w:top w:val="none" w:sz="0" w:space="0" w:color="auto"/>
        <w:left w:val="none" w:sz="0" w:space="0" w:color="auto"/>
        <w:bottom w:val="none" w:sz="0" w:space="0" w:color="auto"/>
        <w:right w:val="none" w:sz="0" w:space="0" w:color="auto"/>
      </w:divBdr>
    </w:div>
    <w:div w:id="151002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821</Words>
  <Characters>4521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 Nicolas TSEF</dc:creator>
  <cp:keywords/>
  <dc:description/>
  <cp:lastModifiedBy>DROGUET Mickaël </cp:lastModifiedBy>
  <cp:revision>3</cp:revision>
  <dcterms:created xsi:type="dcterms:W3CDTF">2025-04-23T06:35:00Z</dcterms:created>
  <dcterms:modified xsi:type="dcterms:W3CDTF">2025-08-26T07:15:00Z</dcterms:modified>
</cp:coreProperties>
</file>